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CB2" w:rsidRPr="00FC5605" w:rsidRDefault="00471CB2" w:rsidP="005A6EC8">
      <w:pPr>
        <w:jc w:val="center"/>
        <w:rPr>
          <w:b/>
          <w:sz w:val="28"/>
          <w:szCs w:val="28"/>
          <w:u w:val="single"/>
        </w:rPr>
      </w:pPr>
      <w:r w:rsidRPr="00FC5605">
        <w:rPr>
          <w:b/>
          <w:sz w:val="28"/>
          <w:szCs w:val="28"/>
          <w:u w:val="single"/>
        </w:rPr>
        <w:t>Co-Teaching Planning Form</w:t>
      </w:r>
    </w:p>
    <w:p w:rsidR="00471CB2" w:rsidRDefault="00471CB2" w:rsidP="005A6EC8">
      <w:pPr>
        <w:jc w:val="center"/>
      </w:pPr>
    </w:p>
    <w:p w:rsidR="00471CB2" w:rsidRPr="00076F64" w:rsidRDefault="00471CB2" w:rsidP="005A6EC8">
      <w:r w:rsidRPr="00076F64">
        <w:t xml:space="preserve">Co-teachers: </w:t>
      </w:r>
      <w:r w:rsidR="0034181A" w:rsidRPr="00076F64">
        <w:t xml:space="preserve">Erin Landsman and Sandra Gillett Palmer </w:t>
      </w:r>
      <w:r w:rsidRPr="00076F64">
        <w:tab/>
        <w:t xml:space="preserve">Class/block: </w:t>
      </w:r>
      <w:r w:rsidR="0034181A" w:rsidRPr="00076F64">
        <w:t xml:space="preserve">Period 1-2 </w:t>
      </w:r>
      <w:r w:rsidR="00E341C8" w:rsidRPr="00076F64">
        <w:tab/>
      </w:r>
      <w:r w:rsidR="00E341C8" w:rsidRPr="00076F64">
        <w:tab/>
      </w:r>
      <w:r w:rsidR="0034181A" w:rsidRPr="00076F64">
        <w:t xml:space="preserve">Date: </w:t>
      </w:r>
      <w:r w:rsidR="00942CBE" w:rsidRPr="00076F64">
        <w:t>5/1-4/2012</w:t>
      </w:r>
    </w:p>
    <w:p w:rsidR="00471CB2" w:rsidRPr="00076F64" w:rsidRDefault="0034181A" w:rsidP="005A6EC8">
      <w:r w:rsidRPr="00076F64">
        <w:t>Objectives</w:t>
      </w:r>
      <w:r w:rsidR="00471CB2" w:rsidRPr="00076F64">
        <w:t xml:space="preserve">: </w:t>
      </w:r>
    </w:p>
    <w:p w:rsidR="00471CB2" w:rsidRPr="00076F64" w:rsidRDefault="00C33591" w:rsidP="00C33591">
      <w:pPr>
        <w:pStyle w:val="NormalWeb"/>
        <w:rPr>
          <w:rFonts w:ascii="Bookman Old Style" w:hAnsi="Bookman Old Style"/>
        </w:rPr>
      </w:pPr>
      <w:r w:rsidRPr="00076F64">
        <w:rPr>
          <w:rFonts w:ascii="Bookman Old Style" w:hAnsi="Bookman Old Style"/>
          <w:b/>
          <w:bCs/>
          <w:color w:val="000000"/>
          <w:sz w:val="20"/>
          <w:szCs w:val="20"/>
        </w:rPr>
        <w:t>SC.700.60.A.1. Recognize and compare how different parts of the world have varying amounts and types of natural resources and how the use of those resources impacts environmental quality</w:t>
      </w:r>
      <w:r w:rsidRPr="00076F64">
        <w:rPr>
          <w:rFonts w:ascii="Bookman Old Style" w:hAnsi="Bookman Old Style"/>
          <w:b/>
          <w:bCs/>
          <w:color w:val="000000"/>
          <w:sz w:val="44"/>
          <w:szCs w:val="44"/>
        </w:rPr>
        <w:t>.</w:t>
      </w:r>
    </w:p>
    <w:p w:rsidR="00974235" w:rsidRPr="00076F64" w:rsidRDefault="00974235" w:rsidP="00974235">
      <w:pPr>
        <w:numPr>
          <w:ilvl w:val="1"/>
          <w:numId w:val="1"/>
        </w:numPr>
      </w:pPr>
      <w:r w:rsidRPr="00076F64">
        <w:rPr>
          <w:b/>
          <w:bCs/>
          <w:sz w:val="20"/>
          <w:szCs w:val="20"/>
        </w:rPr>
        <w:t>Review vocabulary</w:t>
      </w:r>
    </w:p>
    <w:p w:rsidR="00974235" w:rsidRPr="00076F64" w:rsidRDefault="00974235" w:rsidP="00974235">
      <w:pPr>
        <w:numPr>
          <w:ilvl w:val="1"/>
          <w:numId w:val="1"/>
        </w:numPr>
      </w:pPr>
      <w:r w:rsidRPr="00076F64">
        <w:rPr>
          <w:b/>
          <w:bCs/>
          <w:sz w:val="20"/>
          <w:szCs w:val="20"/>
        </w:rPr>
        <w:t>Benchmark assessment</w:t>
      </w:r>
    </w:p>
    <w:tbl>
      <w:tblPr>
        <w:tblStyle w:val="TableGrid"/>
        <w:tblW w:w="13338" w:type="dxa"/>
        <w:tblLook w:val="01E0" w:firstRow="1" w:lastRow="1" w:firstColumn="1" w:lastColumn="1" w:noHBand="0" w:noVBand="0"/>
      </w:tblPr>
      <w:tblGrid>
        <w:gridCol w:w="1800"/>
        <w:gridCol w:w="3240"/>
        <w:gridCol w:w="3240"/>
        <w:gridCol w:w="5058"/>
      </w:tblGrid>
      <w:tr w:rsidR="00B577DA" w:rsidTr="00B577DA">
        <w:tc>
          <w:tcPr>
            <w:tcW w:w="1800" w:type="dxa"/>
          </w:tcPr>
          <w:p w:rsidR="00B577DA" w:rsidRPr="005A6EC8" w:rsidRDefault="00B577DA" w:rsidP="005A6EC8">
            <w:pPr>
              <w:rPr>
                <w:b/>
              </w:rPr>
            </w:pPr>
          </w:p>
          <w:p w:rsidR="00B577DA" w:rsidRPr="005A6EC8" w:rsidRDefault="00B577DA" w:rsidP="005A6EC8">
            <w:pPr>
              <w:rPr>
                <w:b/>
              </w:rPr>
            </w:pPr>
            <w:r w:rsidRPr="005A6EC8">
              <w:rPr>
                <w:b/>
              </w:rPr>
              <w:t>Co-Teaching Model</w:t>
            </w:r>
          </w:p>
        </w:tc>
        <w:tc>
          <w:tcPr>
            <w:tcW w:w="3240" w:type="dxa"/>
          </w:tcPr>
          <w:p w:rsidR="00B577DA" w:rsidRPr="005A6EC8" w:rsidRDefault="00B577DA" w:rsidP="005A6EC8">
            <w:pPr>
              <w:rPr>
                <w:b/>
              </w:rPr>
            </w:pPr>
          </w:p>
          <w:p w:rsidR="00B577DA" w:rsidRPr="005A6EC8" w:rsidRDefault="00B577DA" w:rsidP="005A6EC8">
            <w:pPr>
              <w:rPr>
                <w:b/>
              </w:rPr>
            </w:pPr>
            <w:r w:rsidRPr="005A6EC8">
              <w:rPr>
                <w:b/>
              </w:rPr>
              <w:t>General Educator’s Role</w:t>
            </w:r>
          </w:p>
        </w:tc>
        <w:tc>
          <w:tcPr>
            <w:tcW w:w="3240" w:type="dxa"/>
          </w:tcPr>
          <w:p w:rsidR="00B577DA" w:rsidRPr="005A6EC8" w:rsidRDefault="00B577DA" w:rsidP="005A6EC8">
            <w:pPr>
              <w:rPr>
                <w:b/>
              </w:rPr>
            </w:pPr>
          </w:p>
          <w:p w:rsidR="00B577DA" w:rsidRPr="005A6EC8" w:rsidRDefault="00B577DA" w:rsidP="005A6EC8">
            <w:pPr>
              <w:rPr>
                <w:b/>
              </w:rPr>
            </w:pPr>
            <w:r w:rsidRPr="005A6EC8">
              <w:rPr>
                <w:b/>
              </w:rPr>
              <w:t>Special Educator’s Role</w:t>
            </w:r>
          </w:p>
        </w:tc>
        <w:tc>
          <w:tcPr>
            <w:tcW w:w="5058" w:type="dxa"/>
          </w:tcPr>
          <w:p w:rsidR="00B577DA" w:rsidRDefault="00B577DA" w:rsidP="005A6EC8">
            <w:r w:rsidRPr="00FC5605">
              <w:rPr>
                <w:b/>
              </w:rPr>
              <w:t>Considerations</w:t>
            </w:r>
            <w:r>
              <w:t xml:space="preserve"> (such as differentiation, accommodations for specific students, etc.)</w:t>
            </w:r>
          </w:p>
        </w:tc>
      </w:tr>
      <w:tr w:rsidR="00B577DA" w:rsidTr="00B577DA">
        <w:tc>
          <w:tcPr>
            <w:tcW w:w="1800" w:type="dxa"/>
          </w:tcPr>
          <w:p w:rsidR="00B577DA" w:rsidRDefault="00B577DA" w:rsidP="005A6EC8">
            <w:r>
              <w:t>Team Teaching</w:t>
            </w:r>
          </w:p>
        </w:tc>
        <w:tc>
          <w:tcPr>
            <w:tcW w:w="3240" w:type="dxa"/>
          </w:tcPr>
          <w:p w:rsidR="00B577DA" w:rsidRDefault="00B577DA" w:rsidP="00942CBE">
            <w:r>
              <w:t>Attendance, Warm Up: What is conservation? Give an example.</w:t>
            </w:r>
          </w:p>
          <w:p w:rsidR="00B577DA" w:rsidRDefault="00B577DA" w:rsidP="00974235"/>
        </w:tc>
        <w:tc>
          <w:tcPr>
            <w:tcW w:w="3240" w:type="dxa"/>
          </w:tcPr>
          <w:p w:rsidR="00B577DA" w:rsidRDefault="00B577DA" w:rsidP="005A6EC8">
            <w:r>
              <w:t>Distribute Breakfast, Pencils, Binders</w:t>
            </w:r>
          </w:p>
        </w:tc>
        <w:tc>
          <w:tcPr>
            <w:tcW w:w="5058" w:type="dxa"/>
          </w:tcPr>
          <w:p w:rsidR="00B577DA" w:rsidRDefault="00B577DA" w:rsidP="005A6EC8">
            <w:r>
              <w:t xml:space="preserve">Make sure students are in their seats by 8 am (not to leave classroom). </w:t>
            </w:r>
          </w:p>
          <w:p w:rsidR="00B577DA" w:rsidRDefault="00B577DA" w:rsidP="005A6EC8">
            <w:r w:rsidRPr="00974235">
              <w:rPr>
                <w:b/>
              </w:rPr>
              <w:t xml:space="preserve">Robert </w:t>
            </w:r>
            <w:r>
              <w:t>to Reading: After announcements</w:t>
            </w:r>
          </w:p>
          <w:p w:rsidR="00B577DA" w:rsidRDefault="00B577DA" w:rsidP="005A6EC8">
            <w:r w:rsidRPr="00974235">
              <w:rPr>
                <w:b/>
              </w:rPr>
              <w:t>Zion</w:t>
            </w:r>
            <w:r>
              <w:t xml:space="preserve"> to Reading: 9:00am on B days</w:t>
            </w:r>
          </w:p>
          <w:p w:rsidR="00B577DA" w:rsidRDefault="00B577DA" w:rsidP="005A6EC8">
            <w:r>
              <w:t>Circulate and prompt verbally, remind to use notes</w:t>
            </w:r>
          </w:p>
        </w:tc>
      </w:tr>
      <w:tr w:rsidR="00B577DA" w:rsidTr="00B577DA">
        <w:tc>
          <w:tcPr>
            <w:tcW w:w="1800" w:type="dxa"/>
          </w:tcPr>
          <w:p w:rsidR="00B577DA" w:rsidRDefault="00B577DA" w:rsidP="005A6EC8">
            <w:r w:rsidRPr="00B577DA">
              <w:t>One Teach, One Assist</w:t>
            </w:r>
          </w:p>
        </w:tc>
        <w:tc>
          <w:tcPr>
            <w:tcW w:w="3240" w:type="dxa"/>
          </w:tcPr>
          <w:p w:rsidR="00B577DA" w:rsidRDefault="00B577DA" w:rsidP="00942CBE">
            <w:r>
              <w:t xml:space="preserve">The </w:t>
            </w:r>
            <w:proofErr w:type="spellStart"/>
            <w:r>
              <w:t>Lorax</w:t>
            </w:r>
            <w:proofErr w:type="spellEnd"/>
            <w:r>
              <w:t xml:space="preserve"> Sequel: Students will have watched the original </w:t>
            </w:r>
            <w:proofErr w:type="spellStart"/>
            <w:r>
              <w:t>Lorax</w:t>
            </w:r>
            <w:proofErr w:type="spellEnd"/>
            <w:r>
              <w:t xml:space="preserve"> on Day 1</w:t>
            </w:r>
          </w:p>
          <w:p w:rsidR="00B577DA" w:rsidRDefault="00B577DA" w:rsidP="005A6EC8"/>
          <w:p w:rsidR="00B577DA" w:rsidRDefault="006168E2" w:rsidP="005A6EC8">
            <w:r>
              <w:t>Day 1</w:t>
            </w:r>
            <w:r w:rsidR="00B577DA">
              <w:t>: Students complete a “Sequel Planning Guide”</w:t>
            </w:r>
          </w:p>
          <w:p w:rsidR="00B577DA" w:rsidRDefault="00B577DA" w:rsidP="005A6EC8">
            <w:r>
              <w:t>-Plan out the setting, plot, characters, moral of the story based on the original</w:t>
            </w:r>
          </w:p>
          <w:p w:rsidR="00B577DA" w:rsidRDefault="00B577DA" w:rsidP="005A6EC8"/>
        </w:tc>
        <w:tc>
          <w:tcPr>
            <w:tcW w:w="3240" w:type="dxa"/>
          </w:tcPr>
          <w:p w:rsidR="00B577DA" w:rsidRDefault="00B577DA" w:rsidP="00200544">
            <w:r>
              <w:t>Both teachers circulate to support- verbal prompts and alternate explanation of each part of the sequel planning guide</w:t>
            </w:r>
          </w:p>
          <w:p w:rsidR="00B577DA" w:rsidRDefault="00B577DA" w:rsidP="00200544"/>
          <w:p w:rsidR="00B577DA" w:rsidRDefault="00B577DA" w:rsidP="00200544"/>
        </w:tc>
        <w:tc>
          <w:tcPr>
            <w:tcW w:w="5058" w:type="dxa"/>
          </w:tcPr>
          <w:p w:rsidR="00B577DA" w:rsidRDefault="00B577DA" w:rsidP="005A6EC8">
            <w:r w:rsidRPr="00200544">
              <w:rPr>
                <w:b/>
              </w:rPr>
              <w:t>Zion</w:t>
            </w:r>
            <w:r>
              <w:t xml:space="preserve">, </w:t>
            </w:r>
            <w:r w:rsidRPr="00200544">
              <w:rPr>
                <w:b/>
              </w:rPr>
              <w:t>Sergey</w:t>
            </w:r>
            <w:r>
              <w:t xml:space="preserve">, </w:t>
            </w:r>
            <w:r w:rsidRPr="00200544">
              <w:rPr>
                <w:b/>
              </w:rPr>
              <w:t>Robert</w:t>
            </w:r>
            <w:r>
              <w:t>: adult support- scribe or computer</w:t>
            </w:r>
          </w:p>
          <w:p w:rsidR="00B577DA" w:rsidRDefault="00B577DA" w:rsidP="005A6EC8">
            <w:r w:rsidRPr="00CC519F">
              <w:rPr>
                <w:b/>
              </w:rPr>
              <w:t>Precious, Ray:</w:t>
            </w:r>
            <w:r>
              <w:t xml:space="preserve"> behavior modeling</w:t>
            </w:r>
          </w:p>
          <w:p w:rsidR="007848BF" w:rsidRDefault="007848BF" w:rsidP="005A6EC8"/>
          <w:p w:rsidR="00B577DA" w:rsidRDefault="00B577DA" w:rsidP="005A6EC8">
            <w:r>
              <w:t xml:space="preserve">Keep eye on </w:t>
            </w:r>
            <w:proofErr w:type="spellStart"/>
            <w:r>
              <w:t>Cristian</w:t>
            </w:r>
            <w:proofErr w:type="spellEnd"/>
            <w:r>
              <w:t xml:space="preserve"> and Carlos- work completion</w:t>
            </w:r>
          </w:p>
          <w:p w:rsidR="007848BF" w:rsidRDefault="007848BF" w:rsidP="005A6EC8"/>
          <w:p w:rsidR="007848BF" w:rsidRDefault="007848BF" w:rsidP="005A6EC8">
            <w:r>
              <w:t>Seat Locations: Assign computer lab seats to minimize potential talking</w:t>
            </w:r>
          </w:p>
        </w:tc>
      </w:tr>
      <w:tr w:rsidR="00B577DA" w:rsidTr="00B577DA">
        <w:tc>
          <w:tcPr>
            <w:tcW w:w="1800" w:type="dxa"/>
          </w:tcPr>
          <w:p w:rsidR="00B577DA" w:rsidRDefault="00B577DA" w:rsidP="005A6EC8">
            <w:r>
              <w:t>Team Teach</w:t>
            </w:r>
          </w:p>
        </w:tc>
        <w:tc>
          <w:tcPr>
            <w:tcW w:w="3240" w:type="dxa"/>
          </w:tcPr>
          <w:p w:rsidR="00B577DA" w:rsidRDefault="006168E2" w:rsidP="005A6EC8">
            <w:r>
              <w:t>Day 2</w:t>
            </w:r>
            <w:r w:rsidR="00B577DA">
              <w:t xml:space="preserve">: Sequel Writing </w:t>
            </w:r>
          </w:p>
          <w:p w:rsidR="00B577DA" w:rsidRDefault="00B577DA" w:rsidP="005A6EC8">
            <w:r>
              <w:t>Both teachers work with students on writing a sequel</w:t>
            </w:r>
          </w:p>
        </w:tc>
        <w:tc>
          <w:tcPr>
            <w:tcW w:w="3240" w:type="dxa"/>
          </w:tcPr>
          <w:p w:rsidR="00B577DA" w:rsidRDefault="00B577DA" w:rsidP="005A6EC8">
            <w:r>
              <w:t>Sit with Robert- and type his sequel</w:t>
            </w:r>
          </w:p>
        </w:tc>
        <w:tc>
          <w:tcPr>
            <w:tcW w:w="5058" w:type="dxa"/>
            <w:vMerge w:val="restart"/>
          </w:tcPr>
          <w:p w:rsidR="00B577DA" w:rsidRPr="002A65B8" w:rsidRDefault="00B577DA" w:rsidP="005A6EC8">
            <w:pPr>
              <w:rPr>
                <w:b/>
              </w:rPr>
            </w:pPr>
            <w:r w:rsidRPr="002A65B8">
              <w:rPr>
                <w:b/>
              </w:rPr>
              <w:t xml:space="preserve">Differentiated by Accommodations: </w:t>
            </w:r>
          </w:p>
          <w:p w:rsidR="00B577DA" w:rsidRDefault="00B577DA" w:rsidP="002A65B8">
            <w:pPr>
              <w:rPr>
                <w:b/>
              </w:rPr>
            </w:pPr>
            <w:r>
              <w:t>Story word counts- 150 (</w:t>
            </w:r>
            <w:proofErr w:type="spellStart"/>
            <w:r>
              <w:rPr>
                <w:b/>
              </w:rPr>
              <w:t>Cristian</w:t>
            </w:r>
            <w:proofErr w:type="spellEnd"/>
            <w:r>
              <w:rPr>
                <w:b/>
              </w:rPr>
              <w:t xml:space="preserve">, Robert, </w:t>
            </w:r>
            <w:proofErr w:type="spellStart"/>
            <w:r>
              <w:rPr>
                <w:b/>
              </w:rPr>
              <w:t>Ciera</w:t>
            </w:r>
            <w:proofErr w:type="spellEnd"/>
            <w:r>
              <w:rPr>
                <w:b/>
              </w:rPr>
              <w:t>, Sergey)</w:t>
            </w:r>
          </w:p>
          <w:p w:rsidR="00B577DA" w:rsidRDefault="00B577DA" w:rsidP="002A65B8">
            <w:pPr>
              <w:rPr>
                <w:b/>
              </w:rPr>
            </w:pPr>
            <w:r>
              <w:t>Story word counts- 300 (</w:t>
            </w:r>
            <w:r>
              <w:rPr>
                <w:b/>
              </w:rPr>
              <w:t>All others)</w:t>
            </w:r>
          </w:p>
          <w:p w:rsidR="00EB22B4" w:rsidRDefault="00EB22B4" w:rsidP="002A65B8">
            <w:pPr>
              <w:rPr>
                <w:b/>
              </w:rPr>
            </w:pPr>
          </w:p>
          <w:p w:rsidR="00EB22B4" w:rsidRDefault="00EB22B4" w:rsidP="002A65B8">
            <w:r>
              <w:rPr>
                <w:b/>
              </w:rPr>
              <w:lastRenderedPageBreak/>
              <w:t xml:space="preserve">Differentiated by Choice: </w:t>
            </w:r>
            <w:r>
              <w:t>Story can be narrated in Pixie or just a typed children’s story.</w:t>
            </w:r>
          </w:p>
          <w:p w:rsidR="00B64263" w:rsidRDefault="00B64263" w:rsidP="002A65B8"/>
          <w:p w:rsidR="00B64263" w:rsidRPr="00B64263" w:rsidRDefault="00B64263" w:rsidP="002A65B8">
            <w:r>
              <w:rPr>
                <w:b/>
              </w:rPr>
              <w:t xml:space="preserve">Robert: </w:t>
            </w:r>
            <w:r>
              <w:t>Spell check as needed, encourage in-depth story telling</w:t>
            </w:r>
          </w:p>
        </w:tc>
      </w:tr>
      <w:tr w:rsidR="00B577DA" w:rsidTr="00B577DA">
        <w:tc>
          <w:tcPr>
            <w:tcW w:w="1800" w:type="dxa"/>
          </w:tcPr>
          <w:p w:rsidR="00B577DA" w:rsidRDefault="00B577DA" w:rsidP="005A6EC8">
            <w:r>
              <w:t>Team Teach</w:t>
            </w:r>
          </w:p>
        </w:tc>
        <w:tc>
          <w:tcPr>
            <w:tcW w:w="3240" w:type="dxa"/>
          </w:tcPr>
          <w:p w:rsidR="00B577DA" w:rsidRDefault="006168E2" w:rsidP="005A6EC8">
            <w:r>
              <w:t>Day 3 and 4</w:t>
            </w:r>
            <w:r w:rsidR="00B577DA">
              <w:t xml:space="preserve">: Sequel </w:t>
            </w:r>
            <w:r w:rsidR="00B577DA">
              <w:lastRenderedPageBreak/>
              <w:t xml:space="preserve">Creation using Pixie </w:t>
            </w:r>
          </w:p>
          <w:p w:rsidR="00B577DA" w:rsidRDefault="00B577DA" w:rsidP="005A6EC8">
            <w:r>
              <w:t>Both teachers walk around and help with Pixie (creating illustrations, typing and recording voices)</w:t>
            </w:r>
          </w:p>
          <w:p w:rsidR="00B577DA" w:rsidRDefault="00B577DA" w:rsidP="005A6EC8"/>
        </w:tc>
        <w:tc>
          <w:tcPr>
            <w:tcW w:w="3240" w:type="dxa"/>
          </w:tcPr>
          <w:p w:rsidR="00B577DA" w:rsidRDefault="00B577DA" w:rsidP="005A6EC8">
            <w:r w:rsidRPr="00B577DA">
              <w:lastRenderedPageBreak/>
              <w:t xml:space="preserve">Both teachers walk </w:t>
            </w:r>
            <w:r w:rsidRPr="00B577DA">
              <w:lastRenderedPageBreak/>
              <w:t>around and help with Pixie (creating illustrations, typing and recording voices)</w:t>
            </w:r>
          </w:p>
        </w:tc>
        <w:tc>
          <w:tcPr>
            <w:tcW w:w="5058" w:type="dxa"/>
            <w:vMerge/>
          </w:tcPr>
          <w:p w:rsidR="00B577DA" w:rsidRPr="002A65B8" w:rsidRDefault="00B577DA" w:rsidP="005A6EC8">
            <w:pPr>
              <w:rPr>
                <w:b/>
              </w:rPr>
            </w:pPr>
          </w:p>
        </w:tc>
      </w:tr>
    </w:tbl>
    <w:p w:rsidR="00471CB2" w:rsidRDefault="00471CB2" w:rsidP="005A6EC8"/>
    <w:p w:rsidR="00471CB2" w:rsidRDefault="00471CB2" w:rsidP="005A6EC8">
      <w:r>
        <w:t>Dividing up the work:  Who does what before and after the lesson?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718"/>
        <w:gridCol w:w="4950"/>
        <w:gridCol w:w="5508"/>
      </w:tblGrid>
      <w:tr w:rsidR="00471CB2" w:rsidTr="005B0150">
        <w:tc>
          <w:tcPr>
            <w:tcW w:w="2718" w:type="dxa"/>
          </w:tcPr>
          <w:p w:rsidR="00471CB2" w:rsidRDefault="00471CB2" w:rsidP="005A6EC8"/>
        </w:tc>
        <w:tc>
          <w:tcPr>
            <w:tcW w:w="4950" w:type="dxa"/>
          </w:tcPr>
          <w:p w:rsidR="00471CB2" w:rsidRDefault="00471CB2" w:rsidP="005A6EC8">
            <w:r w:rsidRPr="005A6EC8">
              <w:rPr>
                <w:b/>
              </w:rPr>
              <w:t>General Educator</w:t>
            </w:r>
          </w:p>
        </w:tc>
        <w:tc>
          <w:tcPr>
            <w:tcW w:w="5508" w:type="dxa"/>
          </w:tcPr>
          <w:p w:rsidR="00471CB2" w:rsidRDefault="00471CB2" w:rsidP="005A6EC8">
            <w:r w:rsidRPr="005A6EC8">
              <w:rPr>
                <w:b/>
              </w:rPr>
              <w:t>Special Educator</w:t>
            </w:r>
          </w:p>
        </w:tc>
      </w:tr>
      <w:tr w:rsidR="00471CB2" w:rsidTr="005B0150">
        <w:tc>
          <w:tcPr>
            <w:tcW w:w="2718" w:type="dxa"/>
          </w:tcPr>
          <w:p w:rsidR="00471CB2" w:rsidRDefault="00471CB2" w:rsidP="005A6EC8">
            <w:r>
              <w:t xml:space="preserve">Before the lesson </w:t>
            </w:r>
          </w:p>
          <w:p w:rsidR="00471CB2" w:rsidRDefault="00471CB2" w:rsidP="005A6EC8">
            <w:r>
              <w:t>(prep work)</w:t>
            </w:r>
          </w:p>
        </w:tc>
        <w:tc>
          <w:tcPr>
            <w:tcW w:w="4950" w:type="dxa"/>
          </w:tcPr>
          <w:p w:rsidR="00CC519F" w:rsidRDefault="00EB22B4" w:rsidP="005A6EC8">
            <w:proofErr w:type="spellStart"/>
            <w:r>
              <w:t>Lorax</w:t>
            </w:r>
            <w:proofErr w:type="spellEnd"/>
            <w:r>
              <w:t xml:space="preserve"> Sequel Planning Guide, Rubric and Pixie Help Sheet</w:t>
            </w:r>
          </w:p>
        </w:tc>
        <w:tc>
          <w:tcPr>
            <w:tcW w:w="5508" w:type="dxa"/>
          </w:tcPr>
          <w:p w:rsidR="00CC519F" w:rsidRDefault="00EB22B4" w:rsidP="005A6EC8">
            <w:r>
              <w:t>Familiarize with Pixie</w:t>
            </w:r>
            <w:r w:rsidR="00D57C4C">
              <w:t>, prepare to present parts of the planning guide</w:t>
            </w:r>
            <w:bookmarkStart w:id="0" w:name="_GoBack"/>
            <w:bookmarkEnd w:id="0"/>
          </w:p>
        </w:tc>
      </w:tr>
      <w:tr w:rsidR="00471CB2" w:rsidTr="005B0150">
        <w:tc>
          <w:tcPr>
            <w:tcW w:w="2718" w:type="dxa"/>
          </w:tcPr>
          <w:p w:rsidR="00471CB2" w:rsidRDefault="00471CB2" w:rsidP="005A6EC8">
            <w:r>
              <w:t>After the lesson (grading, clean-up)</w:t>
            </w:r>
          </w:p>
        </w:tc>
        <w:tc>
          <w:tcPr>
            <w:tcW w:w="4950" w:type="dxa"/>
          </w:tcPr>
          <w:p w:rsidR="00471CB2" w:rsidRDefault="00EB22B4" w:rsidP="005A6EC8">
            <w:r>
              <w:t>Grade Pixie</w:t>
            </w:r>
          </w:p>
        </w:tc>
        <w:tc>
          <w:tcPr>
            <w:tcW w:w="5508" w:type="dxa"/>
          </w:tcPr>
          <w:p w:rsidR="00471CB2" w:rsidRDefault="00471CB2" w:rsidP="005A6EC8"/>
        </w:tc>
      </w:tr>
    </w:tbl>
    <w:p w:rsidR="00471CB2" w:rsidRDefault="00471CB2" w:rsidP="005A6EC8"/>
    <w:p w:rsidR="00471CB2" w:rsidRDefault="00471CB2" w:rsidP="005A6EC8"/>
    <w:sectPr w:rsidR="00471CB2" w:rsidSect="00FC5605">
      <w:pgSz w:w="15840" w:h="12240" w:orient="landscape"/>
      <w:pgMar w:top="72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02F50"/>
    <w:multiLevelType w:val="hybridMultilevel"/>
    <w:tmpl w:val="33D6005A"/>
    <w:lvl w:ilvl="0" w:tplc="0F8A7D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070869"/>
    <w:multiLevelType w:val="hybridMultilevel"/>
    <w:tmpl w:val="9CE8E6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88C0714"/>
    <w:multiLevelType w:val="hybridMultilevel"/>
    <w:tmpl w:val="E84E9336"/>
    <w:lvl w:ilvl="0" w:tplc="3880E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EC8"/>
    <w:rsid w:val="00076F64"/>
    <w:rsid w:val="00200544"/>
    <w:rsid w:val="002A65B8"/>
    <w:rsid w:val="0034181A"/>
    <w:rsid w:val="00382E73"/>
    <w:rsid w:val="0045662B"/>
    <w:rsid w:val="00462299"/>
    <w:rsid w:val="00471CB2"/>
    <w:rsid w:val="005A6EC8"/>
    <w:rsid w:val="005B0150"/>
    <w:rsid w:val="006168E2"/>
    <w:rsid w:val="0066338D"/>
    <w:rsid w:val="007625F6"/>
    <w:rsid w:val="007848BF"/>
    <w:rsid w:val="00926EF2"/>
    <w:rsid w:val="00942CBE"/>
    <w:rsid w:val="00974235"/>
    <w:rsid w:val="00AC0B27"/>
    <w:rsid w:val="00B577DA"/>
    <w:rsid w:val="00B64263"/>
    <w:rsid w:val="00BC4597"/>
    <w:rsid w:val="00C0642A"/>
    <w:rsid w:val="00C33591"/>
    <w:rsid w:val="00CC519F"/>
    <w:rsid w:val="00D57C4C"/>
    <w:rsid w:val="00E341C8"/>
    <w:rsid w:val="00EB22B4"/>
    <w:rsid w:val="00EB71E4"/>
    <w:rsid w:val="00FC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Bookman Old Style" w:hAnsi="Bookman Old Style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E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054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33591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Bookman Old Style" w:hAnsi="Bookman Old Style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E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054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33591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Co-Teaching Planning Form</vt:lpstr>
    </vt:vector>
  </TitlesOfParts>
  <Company>FCPS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Co-Teaching Planning Form</dc:title>
  <dc:subject/>
  <dc:creator>FCPS</dc:creator>
  <cp:keywords/>
  <dc:description/>
  <cp:lastModifiedBy>FCPS</cp:lastModifiedBy>
  <cp:revision>8</cp:revision>
  <dcterms:created xsi:type="dcterms:W3CDTF">2012-05-07T15:58:00Z</dcterms:created>
  <dcterms:modified xsi:type="dcterms:W3CDTF">2012-05-07T16:19:00Z</dcterms:modified>
</cp:coreProperties>
</file>